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赤峰工业职业技术学院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教师读书方案</w:t>
      </w:r>
    </w:p>
    <w:p>
      <w:pPr>
        <w:spacing w:line="8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我院学生读书活动已经开展一个学年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收到较好效果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大部分学生都能完成每学期</w:t>
      </w:r>
      <w:r>
        <w:rPr>
          <w:rFonts w:hint="eastAsia" w:ascii="仿宋" w:hAnsi="仿宋" w:eastAsia="仿宋"/>
          <w:sz w:val="32"/>
          <w:szCs w:val="32"/>
        </w:rPr>
        <w:t>2本书的</w:t>
      </w:r>
      <w:r>
        <w:rPr>
          <w:rFonts w:ascii="仿宋" w:hAnsi="仿宋" w:eastAsia="仿宋"/>
          <w:sz w:val="32"/>
          <w:szCs w:val="32"/>
        </w:rPr>
        <w:t>读书任务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为积极落实赤峰市教育局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 w:cs="黑体"/>
          <w:color w:val="000000"/>
          <w:sz w:val="32"/>
          <w:szCs w:val="32"/>
        </w:rPr>
        <w:t>关于深入推动全市职业院校书香校园建设的指导意见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》，全面开展我院“书香校园”建设，充分发挥教师读书的榜样作用，有力推动</w:t>
      </w:r>
      <w:r>
        <w:rPr>
          <w:rFonts w:hint="eastAsia" w:ascii="仿宋" w:hAnsi="仿宋" w:eastAsia="仿宋" w:cs="黑体"/>
          <w:color w:val="000000"/>
          <w:sz w:val="32"/>
          <w:szCs w:val="32"/>
          <w:lang w:eastAsia="zh-CN"/>
        </w:rPr>
        <w:t>全院师生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真读书、多好书，制定</w:t>
      </w:r>
      <w:r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方案。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一、教师读书范围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全体在编和正式签订劳动合同的专任教师、行政兼课教师。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、教师读书书目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学校编制推荐阅读书目，每年更新一次，教师在推荐书目中选择阅读。教师读书书目由教师工作部征集编制，由宣传部审定。教师读书书目主要为师德师风建设和</w:t>
      </w:r>
      <w:r>
        <w:rPr>
          <w:rFonts w:ascii="仿宋" w:hAnsi="仿宋" w:eastAsia="仿宋"/>
          <w:sz w:val="32"/>
          <w:szCs w:val="32"/>
        </w:rPr>
        <w:t>有利于提高教育教学水平的图书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（二）班主任及学校、系部参与学生读书考核的教师阅读学生读书数目有效。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sz w:val="32"/>
          <w:szCs w:val="32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、教师读书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数量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（一）建议</w:t>
      </w:r>
      <w:r>
        <w:rPr>
          <w:rFonts w:hint="eastAsia" w:ascii="仿宋" w:hAnsi="仿宋" w:eastAsia="仿宋"/>
          <w:sz w:val="32"/>
          <w:szCs w:val="32"/>
          <w:lang w:eastAsia="zh-CN"/>
        </w:rPr>
        <w:t>每名教师每个学期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至少读2本书。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</w:t>
      </w:r>
      <w:r>
        <w:rPr>
          <w:rFonts w:ascii="仿宋" w:hAnsi="仿宋" w:eastAsia="仿宋"/>
          <w:sz w:val="32"/>
          <w:szCs w:val="32"/>
        </w:rPr>
        <w:t>每读一本书</w:t>
      </w:r>
      <w:r>
        <w:rPr>
          <w:rFonts w:hint="eastAsia" w:ascii="仿宋" w:hAnsi="仿宋" w:eastAsia="仿宋"/>
          <w:sz w:val="32"/>
          <w:szCs w:val="32"/>
        </w:rPr>
        <w:t>，考核合格，</w:t>
      </w:r>
      <w:r>
        <w:rPr>
          <w:rFonts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</w:rPr>
        <w:t>《赤峰工业职业技术学院教师培训学时认定办法》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有关规定</w:t>
      </w:r>
      <w:r>
        <w:rPr>
          <w:rFonts w:hint="eastAsia" w:ascii="仿宋" w:hAnsi="仿宋" w:eastAsia="仿宋"/>
          <w:sz w:val="32"/>
          <w:szCs w:val="32"/>
        </w:rPr>
        <w:t>计10个培训学时，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每年</w:t>
      </w:r>
      <w:r>
        <w:rPr>
          <w:rFonts w:hint="eastAsia" w:ascii="仿宋" w:hAnsi="仿宋" w:eastAsia="仿宋"/>
          <w:sz w:val="32"/>
          <w:szCs w:val="32"/>
          <w:lang w:eastAsia="zh-CN"/>
        </w:rPr>
        <w:t>最多认定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50学时（公共基础课教师最多认定80个学时），</w:t>
      </w:r>
      <w:r>
        <w:rPr>
          <w:rFonts w:hint="eastAsia" w:ascii="仿宋" w:hAnsi="仿宋" w:eastAsia="仿宋"/>
          <w:sz w:val="32"/>
          <w:szCs w:val="32"/>
        </w:rPr>
        <w:t>鼓励教师多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/>
          <w:sz w:val="32"/>
          <w:szCs w:val="32"/>
        </w:rPr>
        <w:t>读书。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四、教师读书考核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教师读书考核工作由党委教师工作部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牵头</w:t>
      </w:r>
      <w:r>
        <w:rPr>
          <w:rFonts w:hint="eastAsia" w:ascii="仿宋" w:hAnsi="仿宋" w:eastAsia="仿宋"/>
          <w:sz w:val="32"/>
          <w:szCs w:val="32"/>
        </w:rPr>
        <w:t>负责，考核方式为读书报告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读书报告以系部为单位每学期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一次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定于6月和12月举行</w:t>
      </w:r>
      <w:r>
        <w:rPr>
          <w:rFonts w:hint="eastAsia" w:ascii="仿宋" w:hAnsi="仿宋" w:eastAsia="仿宋"/>
          <w:sz w:val="32"/>
          <w:szCs w:val="32"/>
        </w:rPr>
        <w:t>。教师自愿申请进行读书报告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行政兼课教师通过所属教研室申请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报告前</w:t>
      </w:r>
      <w:r>
        <w:rPr>
          <w:rFonts w:hint="eastAsia" w:ascii="仿宋" w:hAnsi="仿宋" w:eastAsia="仿宋"/>
          <w:sz w:val="32"/>
          <w:szCs w:val="32"/>
        </w:rPr>
        <w:t>向举办单位提供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本学期读书书目（至少含1本教育教学书籍，其申请不予受理）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教师工作部</w:t>
      </w:r>
      <w:r>
        <w:rPr>
          <w:rFonts w:hint="eastAsia" w:ascii="仿宋" w:hAnsi="仿宋" w:eastAsia="仿宋"/>
          <w:sz w:val="32"/>
          <w:szCs w:val="32"/>
        </w:rPr>
        <w:t>采取抽签方式随机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/>
          <w:sz w:val="32"/>
          <w:szCs w:val="32"/>
        </w:rPr>
        <w:t>报告教师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每个学期每个系部6-8人。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举办单位的教师和学生代表参加读书报告会。报告会设评委5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，由教师工作部统一选派。评委及现场师生可以就报告内容提出问题，最终由评委确定考核是否通过。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书目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通过考核的</w:t>
      </w:r>
      <w:r>
        <w:rPr>
          <w:rFonts w:hint="eastAsia" w:ascii="仿宋" w:hAnsi="仿宋" w:eastAsia="仿宋"/>
          <w:sz w:val="32"/>
          <w:szCs w:val="32"/>
        </w:rPr>
        <w:t>计算为培训学时，未通过的不计学时。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读书报告会统计为系部政治学习或教研活动次数，</w:t>
      </w:r>
      <w:r>
        <w:rPr>
          <w:rFonts w:hint="eastAsia" w:ascii="仿宋" w:hAnsi="仿宋" w:eastAsia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进行读书报告</w:t>
      </w:r>
      <w:r>
        <w:rPr>
          <w:rFonts w:hint="eastAsia" w:ascii="仿宋" w:hAnsi="仿宋" w:eastAsia="仿宋"/>
          <w:sz w:val="32"/>
          <w:szCs w:val="32"/>
        </w:rPr>
        <w:t>认定为学术讲座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、学术交流。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申请进行读书报告未中签者，所申请报告的书目视为考核通过（学校未接受的申请除外）。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</w:rPr>
        <w:t>教师读书保障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1、各系部要把师生读书工作作为教师培养和学生教育的重要抓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</w:t>
      </w:r>
      <w:r>
        <w:rPr>
          <w:rFonts w:hint="eastAsia" w:ascii="仿宋" w:hAnsi="仿宋" w:eastAsia="仿宋"/>
          <w:sz w:val="32"/>
          <w:szCs w:val="32"/>
        </w:rPr>
        <w:t>，纳入工作计划，明确负责人员，抓实抓好。学校把师生读书工作纳入系部考核指标，由教师工作部明确考核办法。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2、图书馆应优先采购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hint="eastAsia" w:ascii="仿宋" w:hAnsi="仿宋" w:eastAsia="仿宋"/>
          <w:sz w:val="32"/>
          <w:szCs w:val="32"/>
          <w:lang w:eastAsia="zh-CN"/>
        </w:rPr>
        <w:t>的师生</w:t>
      </w:r>
      <w:r>
        <w:rPr>
          <w:rFonts w:hint="eastAsia" w:ascii="仿宋" w:hAnsi="仿宋" w:eastAsia="仿宋"/>
          <w:sz w:val="32"/>
          <w:szCs w:val="32"/>
        </w:rPr>
        <w:t>阅读书目，保障师生读书需要。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宣传部、教师工作部应加强师生读书的宣传，营造浓厚读书氛围。工会、团委在举办校园文化活动时，要把读书作为重要内容，纳入计划，多部门共同努力，积极建设书香校园、求知校园、文明校园、美育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附：赤峰工业职业技术学院推荐教师阅读书目（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本书目按年度更新，此后不再发文，由教师工作部以适当方式进行发布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赤峰工业职业技术学院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推荐教师阅读书目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.《给班主任的建议》，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丁如许著,长江文艺出版社2020年5月出版</w:t>
      </w:r>
    </w:p>
    <w:p>
      <w:pPr>
        <w:autoSpaceDE w:val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.《班主任基本功实务》，德奋著，山西教育出版社2019年6月出版</w:t>
      </w: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.《做一个会“偷懒”的班主任——班级自主教育管理的艺术和技巧（第二版）》，郑学志著，中国轻工业出版社2019年3月出版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.魏书生与民主教育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教育部师范教育司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北京师范大学出版社，2006年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.《教育的第三只眼》,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汤勇著,长江文艺出版社2019年11月出版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.《新中国教育学家肖像》,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石中英、朱珊主编,教育科学出版社2019年12月出版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.《教育何为》,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[德]弗里德里希尼采著,周国平译,北京出版集团北京十月脑艺出版社201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9年4月出版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.《实验心理学(第二版)》,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郭秀艳著,人民教育出版社2019年7月出版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.《学习共同体:向深度学习》,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陈静静著,华东师范大学出版社2020年7月出版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.《学校如何运转》，李希贵著,教育科学出版社2019年8月出版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.《美其所美一王崧舟讲语文课怎么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上》,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王崧舟著，上海教育出版社2019年10月出版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.《教育要给学生留下什么》,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华应龙著,中国人民大学出版社2019年11月出版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.《照亮校园的常识》,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吴非著,中国人民大学出版社2019年9月出版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.《课堂,可以这么有色》，郑英著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,中国人民大学出版社2020年5月出版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.《读书成就名师》(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修订本)，张贵勇著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,中国人民大学出版社2020年6月出版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.《教师怎样说话才有效》(第二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版)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李进成著,中国轻工业出版社2020年3月出版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.《王君语文创新教学十一讲》,王君著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,长江文艺出版社2020年6月出版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.《创课,让学生更精彩》,孙建锋著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,西教育出版社2020年4月出版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.《倾听与反思一特级教师修炼日志》,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刘善娜著，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宁波出版社2019年9月出版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.《重新发现教育》,高峰著,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中国人民大学出版社2020年3月出版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.《花开有声》,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王洁著,安徽文艺出版社2020年1月出版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.《学会如何学习》,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[美]芭芭拉奥克利著,机械工业出版社华章分社2020年1月出版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.《爱的管教》,</w:t>
      </w:r>
      <w:r>
        <w:rPr>
          <w:rFonts w:ascii="仿宋" w:hAnsi="仿宋" w:eastAsia="仿宋" w:cs="Calibri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[美]贝基A.贝利著,机械工业出版社华章分社2020年3月出版</w:t>
      </w:r>
    </w:p>
    <w:p>
      <w:pPr>
        <w:autoSpaceDE w:val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.《重新认识课堂》，贲友林著，教育科学出版社2019年4月出版</w:t>
      </w: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.《写在讲台边上》，杨斌著,中国人民大学出版社2018年8月出版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.职业教育项目课程开发指南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徐国庆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华东师范大学出版社，2009年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.职业教育工学结合一体化课程开发指南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赵志群  清华大学出版社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2009年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.职业教育研究新论．姜大源．北京：教育科学出版社，2007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职业教育课程论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徐国庆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华东师范大学出版社，2008年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.实践导向职业教育课程研究：技术学范式．徐国庆．上海教育出版社，2005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.职业教育课程开发与实施：基于工作过程系统化的职教课程开发与实施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严中华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清华大学出版社，2009年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widowControl/>
        <w:autoSpaceDE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.职业和技术教育课程概论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黄克孝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华东师范大学出版社，2001年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pStyle w:val="3"/>
        <w:widowControl/>
        <w:autoSpaceDE w:val="0"/>
        <w:spacing w:before="0" w:beforeAutospacing="0" w:after="0" w:afterAutospacing="0"/>
        <w:ind w:right="450"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.中国高等职业教育课程改革状况研究，</w:t>
      </w:r>
      <w:bookmarkStart w:id="0" w:name="4370135-4576008-1"/>
      <w:bookmarkEnd w:id="0"/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鲍洁，中国铁道出版社，2012-04-01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pStyle w:val="2"/>
        <w:widowControl/>
        <w:pBdr>
          <w:bottom w:val="dotted" w:color="AAA9A9" w:sz="12" w:space="0"/>
        </w:pBdr>
        <w:shd w:val="clear" w:color="auto" w:fill="FFFFFF"/>
        <w:autoSpaceDE w:val="0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.高等职业技术教育实践教学研究，</w: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"http://www.openbookdata.com.cn/BookList/pr2_%e4%bf%9e%e4%bb%b2%e6%96%87,%e5%88%98%e5%ae%88%e4%b9%89,%e6%9c%b1%e6%96%b9%e6%9d%a5.html" </w:instrTex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pacing w:val="15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俞仲文,刘守义,朱方来</w:t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pacing w:val="15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b w:val="0"/>
          <w:bCs w:val="0"/>
          <w:color w:val="000000" w:themeColor="text1"/>
          <w:spacing w:val="15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"http://www.openbookdata.com.cn/BookList/pr3_%e6%b8%85%e5%8d%8e%e5%a4%a7%e5%ad%a6%e5%87%ba%e7%89%88%e7%a4%be%e6%9c%89%e9%99%90%e5%85%ac%e5%8f%b8_Mjc4.html" </w:instrTex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清华大学出版社有限公司</w:t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.《职业教育课程设计》，邓泽民、陈庆合著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中国铁道出版社，2006年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.职业技术教育专业教学论，陈永芳，清华大学出版社，2007年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.职业学校专业设置的理论、策略与方法，姜大源，高等教育出版社，2002年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.高等职业教育专业设置的理论与实践，黄春麟，西安电子技大出版社，2003年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.职业学校职业能力形成与教学模式研究，邓泽民，高等教育出版社，2002年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.职业院校实施学分制的理论与实践研究，杨黎民，高等教育出版社，2003年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.高等职业教育质量管理理论与实践，周建松，浙江大学出版社，2007年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autoSpaceDE w:val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"https://www.jarhu.com/javascript:void()" </w:instrTex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职业教育系统培育工匠精神研究</w:t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电子工业出版社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朱厚望等著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2020-01-01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widowControl/>
        <w:autoSpaceDE w:val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.高等职业教育党建与思政工作研究，</w: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"https://baike.baidu.com/item/%E6%B5%99%E6%B1%9F" </w:instrText>
      </w:r>
      <w:r>
        <w:rPr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浙江</w:t>
      </w:r>
      <w:r>
        <w:rPr>
          <w:rStyle w:val="7"/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省职业技术院校党的建设研究会，浙江教育出版社，2008-6-1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出版</w:t>
      </w: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.《具体生活》，吴军著，人民邮电出版社2018年10月出版</w:t>
      </w: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.《时间之问》，汪波著，清华大学出版社2019年4月出版</w:t>
      </w:r>
    </w:p>
    <w:p>
      <w:pPr>
        <w:pStyle w:val="3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.《中国历代著名文学家小传》，张俊纶编著，崇文书局有限公司2019年2月出版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.《故宫六百年》, 祝勇著,人民文学出版社2020年4月出版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48.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苦难辉煌/金一南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49.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建党伟业/黄亚洲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50.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新中国：砥砺奋进的七十年/张士义</w:t>
      </w:r>
    </w:p>
    <w:p>
      <w:pPr>
        <w:ind w:firstLine="640" w:firstLineChars="200"/>
        <w:rPr>
          <w:rFonts w:hint="default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（根据需要增加的书目以其他方式发布）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E0"/>
    <w:rsid w:val="00011203"/>
    <w:rsid w:val="00080963"/>
    <w:rsid w:val="000F50C0"/>
    <w:rsid w:val="001F3512"/>
    <w:rsid w:val="00210B96"/>
    <w:rsid w:val="00250EF5"/>
    <w:rsid w:val="0030336C"/>
    <w:rsid w:val="004A4BC9"/>
    <w:rsid w:val="0059414E"/>
    <w:rsid w:val="006F613A"/>
    <w:rsid w:val="00793EF6"/>
    <w:rsid w:val="00833965"/>
    <w:rsid w:val="00993235"/>
    <w:rsid w:val="00A8733E"/>
    <w:rsid w:val="00B75812"/>
    <w:rsid w:val="00BE22CA"/>
    <w:rsid w:val="00D02935"/>
    <w:rsid w:val="00D15EE0"/>
    <w:rsid w:val="00D4198A"/>
    <w:rsid w:val="00E14ECB"/>
    <w:rsid w:val="00E93064"/>
    <w:rsid w:val="00F063BF"/>
    <w:rsid w:val="04F45939"/>
    <w:rsid w:val="058D7B30"/>
    <w:rsid w:val="09A03F67"/>
    <w:rsid w:val="0C294F9A"/>
    <w:rsid w:val="14CD64F9"/>
    <w:rsid w:val="1D171BE6"/>
    <w:rsid w:val="2B584B6B"/>
    <w:rsid w:val="32237A28"/>
    <w:rsid w:val="329B5CD9"/>
    <w:rsid w:val="3F5F5FF0"/>
    <w:rsid w:val="42B60E1C"/>
    <w:rsid w:val="4A7F52FF"/>
    <w:rsid w:val="4C9B786B"/>
    <w:rsid w:val="53135FAB"/>
    <w:rsid w:val="55044C4F"/>
    <w:rsid w:val="60D833DE"/>
    <w:rsid w:val="6EF03AB4"/>
    <w:rsid w:val="6FA5717C"/>
    <w:rsid w:val="6FB32917"/>
    <w:rsid w:val="71F61B9D"/>
    <w:rsid w:val="731B2B92"/>
    <w:rsid w:val="738C34A3"/>
    <w:rsid w:val="79D5032D"/>
    <w:rsid w:val="7A80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122</Words>
  <Characters>700</Characters>
  <Lines>5</Lines>
  <Paragraphs>1</Paragraphs>
  <TotalTime>220</TotalTime>
  <ScaleCrop>false</ScaleCrop>
  <LinksUpToDate>false</LinksUpToDate>
  <CharactersWithSpaces>821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2021-08-17T01:44:00Z</dcterms:created>
  <dc:creator>user</dc:creator>
  <cp:lastModifiedBy>user</cp:lastModifiedBy>
  <cp:lastPrinted>2021-09-02T06:52:00Z</cp:lastPrinted>
  <dcterms:modified xsi:type="dcterms:W3CDTF">2021-09-14T02:09:15Z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945BB6C92B294D4BA5DC3CB6226515B3</vt:lpwstr>
  </property>
</Properties>
</file>